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FF" w:rsidRDefault="00FE4FFF" w:rsidP="00174B8D">
      <w:pPr>
        <w:shd w:val="clear" w:color="auto" w:fill="FFFFFF"/>
        <w:spacing w:after="158" w:line="240" w:lineRule="auto"/>
        <w:jc w:val="both"/>
        <w:rPr>
          <w:rFonts w:ascii="Times New Roman" w:eastAsia="Times New Roman" w:hAnsi="Times New Roman" w:cs="Times New Roman"/>
          <w:b/>
          <w:bCs/>
          <w:color w:val="000000"/>
          <w:sz w:val="28"/>
          <w:szCs w:val="28"/>
          <w:lang w:eastAsia="pl-PL"/>
        </w:rPr>
      </w:pPr>
      <w:r w:rsidRPr="00174B8D">
        <w:rPr>
          <w:rFonts w:ascii="Times New Roman" w:eastAsia="Times New Roman" w:hAnsi="Times New Roman" w:cs="Times New Roman"/>
          <w:b/>
          <w:bCs/>
          <w:color w:val="000000"/>
          <w:sz w:val="28"/>
          <w:szCs w:val="28"/>
          <w:lang w:eastAsia="pl-PL"/>
        </w:rPr>
        <w:t>For Authors</w:t>
      </w:r>
    </w:p>
    <w:p w:rsidR="00174B8D" w:rsidRPr="00FE4FFF" w:rsidRDefault="00174B8D" w:rsidP="00174B8D">
      <w:pPr>
        <w:shd w:val="clear" w:color="auto" w:fill="FFFFFF"/>
        <w:spacing w:after="158" w:line="240" w:lineRule="auto"/>
        <w:jc w:val="both"/>
        <w:rPr>
          <w:rFonts w:ascii="Times New Roman" w:eastAsia="Times New Roman" w:hAnsi="Times New Roman" w:cs="Times New Roman"/>
          <w:color w:val="000000"/>
          <w:sz w:val="28"/>
          <w:szCs w:val="28"/>
          <w:lang w:eastAsia="pl-PL"/>
        </w:rPr>
      </w:pPr>
    </w:p>
    <w:p w:rsidR="00FE4FFF" w:rsidRPr="00FE4FFF" w:rsidRDefault="00FE4FFF" w:rsidP="00174B8D">
      <w:pPr>
        <w:shd w:val="clear" w:color="auto" w:fill="FFFFFF"/>
        <w:spacing w:after="158" w:line="240" w:lineRule="auto"/>
        <w:jc w:val="both"/>
        <w:rPr>
          <w:rFonts w:ascii="Arial" w:eastAsia="Times New Roman" w:hAnsi="Arial" w:cs="Arial"/>
          <w:color w:val="000000"/>
          <w:sz w:val="32"/>
          <w:szCs w:val="32"/>
          <w:lang w:eastAsia="pl-PL"/>
        </w:rPr>
      </w:pPr>
      <w:r w:rsidRPr="00174B8D">
        <w:rPr>
          <w:rFonts w:ascii="Arial" w:eastAsia="Times New Roman" w:hAnsi="Arial" w:cs="Arial"/>
          <w:b/>
          <w:bCs/>
          <w:color w:val="000000"/>
          <w:sz w:val="32"/>
          <w:szCs w:val="32"/>
          <w:lang w:eastAsia="pl-PL"/>
        </w:rPr>
        <w:t>Title</w:t>
      </w:r>
      <w:r w:rsidR="00174B8D" w:rsidRPr="00174B8D">
        <w:rPr>
          <w:rFonts w:ascii="Arial" w:eastAsia="Times New Roman" w:hAnsi="Arial" w:cs="Arial"/>
          <w:b/>
          <w:bCs/>
          <w:color w:val="000000"/>
          <w:sz w:val="32"/>
          <w:szCs w:val="32"/>
          <w:lang w:eastAsia="pl-PL"/>
        </w:rPr>
        <w:t xml:space="preserve"> </w:t>
      </w:r>
      <w:r w:rsidR="00174B8D" w:rsidRPr="00174B8D">
        <w:rPr>
          <w:rFonts w:ascii="Arial" w:eastAsia="Times New Roman" w:hAnsi="Arial" w:cs="Arial"/>
          <w:color w:val="000000"/>
          <w:sz w:val="32"/>
          <w:szCs w:val="32"/>
          <w:lang w:eastAsia="pl-PL"/>
        </w:rPr>
        <w:t>(Arial font, 16 pts</w:t>
      </w:r>
      <w:r w:rsidRPr="00FE4FFF">
        <w:rPr>
          <w:rFonts w:ascii="Arial" w:eastAsia="Times New Roman" w:hAnsi="Arial" w:cs="Arial"/>
          <w:color w:val="000000"/>
          <w:sz w:val="32"/>
          <w:szCs w:val="32"/>
          <w:lang w:eastAsia="pl-PL"/>
        </w:rPr>
        <w:t>, bolded, one and a half –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the title should be concise and informative and not longer than 250 characters.. Titles are often used in information-retrieval systems. Avoid abbreviations and formulae where possible.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Arial" w:eastAsia="Times New Roman" w:hAnsi="Arial" w:cs="Arial"/>
          <w:color w:val="000000"/>
          <w:sz w:val="24"/>
          <w:szCs w:val="24"/>
          <w:lang w:eastAsia="pl-PL"/>
        </w:rPr>
      </w:pPr>
      <w:r w:rsidRPr="00FE4FFF">
        <w:rPr>
          <w:rFonts w:ascii="Arial" w:eastAsia="Times New Roman" w:hAnsi="Arial" w:cs="Arial"/>
          <w:color w:val="000000"/>
          <w:sz w:val="24"/>
          <w:szCs w:val="24"/>
          <w:lang w:eastAsia="pl-PL"/>
        </w:rPr>
        <w:t>Given-name Surname</w:t>
      </w:r>
      <w:r w:rsidRPr="00FE4FFF">
        <w:rPr>
          <w:rFonts w:ascii="Arial" w:eastAsia="Times New Roman" w:hAnsi="Arial" w:cs="Arial"/>
          <w:color w:val="000000"/>
          <w:sz w:val="24"/>
          <w:szCs w:val="24"/>
          <w:vertAlign w:val="superscript"/>
          <w:lang w:eastAsia="pl-PL"/>
        </w:rPr>
        <w:t>a,*</w:t>
      </w:r>
      <w:r w:rsidRPr="00FE4FFF">
        <w:rPr>
          <w:rFonts w:ascii="Arial" w:eastAsia="Times New Roman" w:hAnsi="Arial" w:cs="Arial"/>
          <w:color w:val="000000"/>
          <w:sz w:val="24"/>
          <w:szCs w:val="24"/>
          <w:lang w:eastAsia="pl-PL"/>
        </w:rPr>
        <w:t>, Given-name Surname</w:t>
      </w:r>
      <w:r w:rsidRPr="00FE4FFF">
        <w:rPr>
          <w:rFonts w:ascii="Arial" w:eastAsia="Times New Roman" w:hAnsi="Arial" w:cs="Arial"/>
          <w:color w:val="000000"/>
          <w:sz w:val="24"/>
          <w:szCs w:val="24"/>
          <w:vertAlign w:val="superscript"/>
          <w:lang w:eastAsia="pl-PL"/>
        </w:rPr>
        <w:t>b</w:t>
      </w:r>
      <w:r w:rsidRPr="00FE4FFF">
        <w:rPr>
          <w:rFonts w:ascii="Arial" w:eastAsia="Times New Roman" w:hAnsi="Arial" w:cs="Arial"/>
          <w:color w:val="000000"/>
          <w:sz w:val="24"/>
          <w:szCs w:val="24"/>
          <w:lang w:eastAsia="pl-PL"/>
        </w:rPr>
        <w:t> (Arial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i/>
          <w:iCs/>
          <w:color w:val="000000"/>
          <w:sz w:val="20"/>
          <w:szCs w:val="20"/>
          <w:vertAlign w:val="superscript"/>
          <w:lang w:eastAsia="pl-PL"/>
        </w:rPr>
        <w:t>a</w:t>
      </w:r>
      <w:r w:rsidRPr="00174B8D">
        <w:rPr>
          <w:rFonts w:ascii="Times New Roman" w:eastAsia="Times New Roman" w:hAnsi="Times New Roman" w:cs="Times New Roman"/>
          <w:i/>
          <w:iCs/>
          <w:color w:val="000000"/>
          <w:sz w:val="20"/>
          <w:szCs w:val="20"/>
          <w:lang w:eastAsia="pl-PL"/>
        </w:rPr>
        <w:t>Affiliation, Address, City and Postal Code, Country</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i/>
          <w:iCs/>
          <w:color w:val="000000"/>
          <w:sz w:val="20"/>
          <w:szCs w:val="20"/>
          <w:vertAlign w:val="superscript"/>
          <w:lang w:eastAsia="pl-PL"/>
        </w:rPr>
        <w:t>b</w:t>
      </w:r>
      <w:r w:rsidRPr="00174B8D">
        <w:rPr>
          <w:rFonts w:ascii="Times New Roman" w:eastAsia="Times New Roman" w:hAnsi="Times New Roman" w:cs="Times New Roman"/>
          <w:i/>
          <w:iCs/>
          <w:color w:val="000000"/>
          <w:sz w:val="20"/>
          <w:szCs w:val="20"/>
          <w:lang w:eastAsia="pl-PL"/>
        </w:rPr>
        <w:t>Affiliation, Address, City and Postal Code, Country (Times New Roman font, 10 pts, in italics,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vertAlign w:val="superscript"/>
          <w:lang w:eastAsia="pl-PL"/>
        </w:rPr>
        <w:t>*</w:t>
      </w:r>
      <w:r w:rsidRPr="00FE4FFF">
        <w:rPr>
          <w:rFonts w:ascii="Times New Roman" w:eastAsia="Times New Roman" w:hAnsi="Times New Roman" w:cs="Times New Roman"/>
          <w:color w:val="000000"/>
          <w:sz w:val="20"/>
          <w:szCs w:val="20"/>
          <w:lang w:eastAsia="pl-PL"/>
        </w:rPr>
        <w:t>Corresponding author: corresponding.author@mail.com</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Clearly indicate who will handle correspondence at all stages of refereeing and publication, also post-publication. This responsibility includes answering any future queries about Methodology and Materials. Ensure that the e-mail address is given and that contact details are kept up to date by the corresponding author.</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p>
    <w:p w:rsidR="00FE4FFF" w:rsidRPr="00FE4FFF" w:rsidRDefault="00FE4FFF" w:rsidP="00174B8D">
      <w:pPr>
        <w:shd w:val="clear" w:color="auto" w:fill="FFFFFF"/>
        <w:spacing w:after="158" w:line="24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Abstract </w:t>
      </w:r>
      <w:r w:rsidRPr="00FE4FFF">
        <w:rPr>
          <w:rFonts w:ascii="Arial" w:eastAsia="Times New Roman" w:hAnsi="Arial" w:cs="Arial"/>
          <w:color w:val="000000"/>
          <w:sz w:val="28"/>
          <w:szCs w:val="28"/>
          <w:lang w:eastAsia="pl-PL"/>
        </w:rPr>
        <w:t>(Arial font, 14 pts, bolded,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your abstract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The Abstract should not exceed 300 words and no abbreviations are allowed in the abstract.</w:t>
      </w:r>
    </w:p>
    <w:p w:rsidR="00FE4FFF" w:rsidRPr="00FE4FFF" w:rsidRDefault="00FE4FFF" w:rsidP="00174B8D">
      <w:pPr>
        <w:shd w:val="clear" w:color="auto" w:fill="FFFFFF"/>
        <w:spacing w:after="158" w:line="240" w:lineRule="auto"/>
        <w:jc w:val="both"/>
        <w:rPr>
          <w:rFonts w:ascii="Arial" w:eastAsia="Times New Roman" w:hAnsi="Arial" w:cs="Arial"/>
          <w:color w:val="000000"/>
          <w:sz w:val="24"/>
          <w:szCs w:val="24"/>
          <w:lang w:eastAsia="pl-PL"/>
        </w:rPr>
      </w:pPr>
      <w:r w:rsidRPr="00174B8D">
        <w:rPr>
          <w:rFonts w:ascii="Arial" w:eastAsia="Times New Roman" w:hAnsi="Arial" w:cs="Arial"/>
          <w:b/>
          <w:bCs/>
          <w:color w:val="000000"/>
          <w:sz w:val="24"/>
          <w:szCs w:val="24"/>
          <w:lang w:eastAsia="pl-PL"/>
        </w:rPr>
        <w:t>KEYWORDS:  </w:t>
      </w:r>
    </w:p>
    <w:p w:rsidR="00FE4FFF" w:rsidRPr="00FE4FFF" w:rsidRDefault="00FE4FFF" w:rsidP="00174B8D">
      <w:pPr>
        <w:shd w:val="clear" w:color="auto" w:fill="FFFFFF"/>
        <w:spacing w:after="158" w:line="240" w:lineRule="auto"/>
        <w:jc w:val="both"/>
        <w:rPr>
          <w:rFonts w:ascii="Arial" w:eastAsia="Times New Roman" w:hAnsi="Arial" w:cs="Arial"/>
          <w:color w:val="000000"/>
          <w:sz w:val="24"/>
          <w:szCs w:val="24"/>
          <w:lang w:eastAsia="pl-PL"/>
        </w:rPr>
      </w:pPr>
      <w:r w:rsidRPr="00174B8D">
        <w:rPr>
          <w:rFonts w:ascii="Arial" w:eastAsia="Times New Roman" w:hAnsi="Arial" w:cs="Arial"/>
          <w:b/>
          <w:bCs/>
          <w:color w:val="000000"/>
          <w:sz w:val="24"/>
          <w:szCs w:val="24"/>
          <w:lang w:eastAsia="pl-PL"/>
        </w:rPr>
        <w:t>Key word 1, Key word 2, … </w:t>
      </w:r>
      <w:r w:rsidRPr="00FE4FFF">
        <w:rPr>
          <w:rFonts w:ascii="Arial" w:eastAsia="Times New Roman" w:hAnsi="Arial" w:cs="Arial"/>
          <w:color w:val="000000"/>
          <w:sz w:val="24"/>
          <w:szCs w:val="24"/>
          <w:lang w:eastAsia="pl-PL"/>
        </w:rPr>
        <w:t>(Arial font, 12 pts, bolded,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the author can feel free to specify up to 30 key words, however only the first 5 key words will be included in the PDF version of the article. All the keywords specified by authors will be listed in the on-line version published on the journal website. Please, avoid general and plural terms and multiple concepts (avoid, for example, “and”, “of”). Also, avoid using words that are already in the title. Be sparing with abbreviations: only abbreviations firmly established in the field may be eligible. These keywords will be used for indexing purposes.</w:t>
      </w:r>
    </w:p>
    <w:p w:rsidR="00FE4FFF" w:rsidRPr="00FE4FFF" w:rsidRDefault="00FE4FFF" w:rsidP="00174B8D">
      <w:pPr>
        <w:shd w:val="clear" w:color="auto" w:fill="FFFFFF"/>
        <w:spacing w:after="158" w:line="24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Introduction </w:t>
      </w:r>
      <w:r w:rsidRPr="00FE4FFF">
        <w:rPr>
          <w:rFonts w:ascii="Arial" w:eastAsia="Times New Roman" w:hAnsi="Arial" w:cs="Arial"/>
          <w:color w:val="000000"/>
          <w:sz w:val="28"/>
          <w:szCs w:val="28"/>
          <w:lang w:eastAsia="pl-PL"/>
        </w:rPr>
        <w:t>(Arial font, 14 pts, bolded,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the introduction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xml:space="preserve">Note: the Introduction, as the name implies, should introduce the background to the work that has been carried out, effectively providing the scientific rationale. It should contain sufficient citations (in square brackets in line with the text) to the key literature to support this rationale and should lead to a clearly stated hypothesis or set of objectives. Authors should assume that the readership of the journal is well-informed and there is no need for any </w:t>
      </w:r>
      <w:r w:rsidRPr="00FE4FFF">
        <w:rPr>
          <w:rFonts w:ascii="Times New Roman" w:eastAsia="Times New Roman" w:hAnsi="Times New Roman" w:cs="Times New Roman"/>
          <w:color w:val="000000"/>
          <w:sz w:val="20"/>
          <w:szCs w:val="20"/>
          <w:lang w:eastAsia="pl-PL"/>
        </w:rPr>
        <w:lastRenderedPageBreak/>
        <w:t>generic educational background Do not insert figures, tables, formulas etc. in this section. The introduction should rarely be more than two manuscript pages long. It should not pre-empt the Results, Discussion or Conclusions.</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Materials and Methods </w:t>
      </w:r>
      <w:r w:rsidRPr="00FE4FFF">
        <w:rPr>
          <w:rFonts w:ascii="Arial" w:eastAsia="Times New Roman" w:hAnsi="Arial" w:cs="Arial"/>
          <w:color w:val="000000"/>
          <w:sz w:val="28"/>
          <w:szCs w:val="28"/>
          <w:lang w:eastAsia="pl-PL"/>
        </w:rPr>
        <w:t xml:space="preserve">(Arial font, 14 pts, bolded, one and a half </w:t>
      </w:r>
      <w:r w:rsidR="00174B8D">
        <w:rPr>
          <w:rFonts w:ascii="Arial" w:eastAsia="Times New Roman" w:hAnsi="Arial" w:cs="Arial"/>
          <w:color w:val="000000"/>
          <w:sz w:val="28"/>
          <w:szCs w:val="28"/>
          <w:lang w:eastAsia="pl-PL"/>
        </w:rPr>
        <w:t>–</w:t>
      </w:r>
      <w:r w:rsidRPr="00FE4FFF">
        <w:rPr>
          <w:rFonts w:ascii="Arial" w:eastAsia="Times New Roman" w:hAnsi="Arial" w:cs="Arial"/>
          <w:color w:val="000000"/>
          <w:sz w:val="28"/>
          <w:szCs w:val="28"/>
          <w:lang w:eastAsia="pl-PL"/>
        </w:rPr>
        <w:t>spaced</w:t>
      </w:r>
      <w:r w:rsidR="00174B8D">
        <w:rPr>
          <w:rFonts w:ascii="Arial" w:eastAsia="Times New Roman" w:hAnsi="Arial" w:cs="Arial"/>
          <w:color w:val="000000"/>
          <w:sz w:val="28"/>
          <w:szCs w:val="28"/>
          <w:lang w:eastAsia="pl-PL"/>
        </w:rPr>
        <w:t>)</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materials and methods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this section should specify exactly what was done experimentally, with sufficient detail for the reader to be able to repeat the experiments if he wishes. It is acceptable to refer to other publications if the methods have been used elsewhere, for example test is used very widely and it is unnecessary to repeat the details unless there has been a departure from standard practice. All of the experimental work discussed in the paper should be described in this section.</w:t>
      </w:r>
    </w:p>
    <w:p w:rsidR="00FE4FFF" w:rsidRPr="00FE4FFF" w:rsidRDefault="00FE4FFF" w:rsidP="00174B8D">
      <w:pPr>
        <w:shd w:val="clear" w:color="auto" w:fill="FFFFFF"/>
        <w:spacing w:after="158" w:line="360" w:lineRule="auto"/>
        <w:jc w:val="both"/>
        <w:rPr>
          <w:rFonts w:ascii="Arial" w:eastAsia="Times New Roman" w:hAnsi="Arial" w:cs="Arial"/>
          <w:color w:val="000000"/>
          <w:sz w:val="24"/>
          <w:szCs w:val="24"/>
          <w:lang w:eastAsia="pl-PL"/>
        </w:rPr>
      </w:pPr>
      <w:r w:rsidRPr="00174B8D">
        <w:rPr>
          <w:rFonts w:ascii="Arial" w:eastAsia="Times New Roman" w:hAnsi="Arial" w:cs="Arial"/>
          <w:b/>
          <w:bCs/>
          <w:color w:val="000000"/>
          <w:sz w:val="24"/>
          <w:szCs w:val="24"/>
          <w:lang w:eastAsia="pl-PL"/>
        </w:rPr>
        <w:t>Subtitle 1 </w:t>
      </w:r>
      <w:r w:rsidRPr="00FE4FFF">
        <w:rPr>
          <w:rFonts w:ascii="Arial" w:eastAsia="Times New Roman" w:hAnsi="Arial" w:cs="Arial"/>
          <w:color w:val="000000"/>
          <w:sz w:val="24"/>
          <w:szCs w:val="24"/>
          <w:lang w:eastAsia="pl-PL"/>
        </w:rPr>
        <w:t>(Arial font, 12 pts, bolded,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here (Times New Roman font, 12 pts,  one and a half spaced)</w:t>
      </w:r>
    </w:p>
    <w:p w:rsidR="00FE4FFF" w:rsidRPr="00FE4FFF" w:rsidRDefault="00FE4FFF" w:rsidP="00174B8D">
      <w:pPr>
        <w:shd w:val="clear" w:color="auto" w:fill="FFFFFF"/>
        <w:spacing w:after="158" w:line="360" w:lineRule="auto"/>
        <w:jc w:val="both"/>
        <w:rPr>
          <w:rFonts w:ascii="Arial" w:eastAsia="Times New Roman" w:hAnsi="Arial" w:cs="Arial"/>
          <w:color w:val="000000"/>
          <w:sz w:val="24"/>
          <w:szCs w:val="24"/>
          <w:lang w:eastAsia="pl-PL"/>
        </w:rPr>
      </w:pPr>
      <w:r w:rsidRPr="00174B8D">
        <w:rPr>
          <w:rFonts w:ascii="Arial" w:eastAsia="Times New Roman" w:hAnsi="Arial" w:cs="Arial"/>
          <w:b/>
          <w:bCs/>
          <w:i/>
          <w:iCs/>
          <w:color w:val="000000"/>
          <w:sz w:val="24"/>
          <w:szCs w:val="24"/>
          <w:lang w:eastAsia="pl-PL"/>
        </w:rPr>
        <w:t>Subtitle 2 </w:t>
      </w:r>
      <w:r w:rsidRPr="00FE4FFF">
        <w:rPr>
          <w:rFonts w:ascii="Arial" w:eastAsia="Times New Roman" w:hAnsi="Arial" w:cs="Arial"/>
          <w:color w:val="000000"/>
          <w:sz w:val="24"/>
          <w:szCs w:val="24"/>
          <w:lang w:eastAsia="pl-PL"/>
        </w:rPr>
        <w:t>(Arial font, 12 pts, bolded, in italics,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using the ‘Object‘ option and selecting the ‘</w:t>
      </w:r>
      <w:r w:rsidRPr="00174B8D">
        <w:rPr>
          <w:rFonts w:ascii="Times New Roman" w:eastAsia="Times New Roman" w:hAnsi="Times New Roman" w:cs="Times New Roman"/>
          <w:bCs/>
          <w:color w:val="000000"/>
          <w:sz w:val="20"/>
          <w:szCs w:val="20"/>
          <w:lang w:eastAsia="pl-PL"/>
        </w:rPr>
        <w:t>Microsoft Equation 3.0’</w:t>
      </w:r>
      <w:r w:rsidRPr="00FE4FFF">
        <w:rPr>
          <w:rFonts w:ascii="Times New Roman" w:eastAsia="Times New Roman" w:hAnsi="Times New Roman" w:cs="Times New Roman"/>
          <w:color w:val="000000"/>
          <w:sz w:val="20"/>
          <w:szCs w:val="20"/>
          <w:lang w:eastAsia="pl-PL"/>
        </w:rPr>
        <w:t>, you can create equations in the Word</w:t>
      </w:r>
      <w:r w:rsidRPr="00FE4FFF">
        <w:rPr>
          <w:rFonts w:ascii="Times New Roman" w:eastAsia="Times New Roman" w:hAnsi="Times New Roman" w:cs="Times New Roman"/>
          <w:color w:val="000000"/>
          <w:sz w:val="20"/>
          <w:szCs w:val="20"/>
          <w:vertAlign w:val="superscript"/>
          <w:lang w:eastAsia="pl-PL"/>
        </w:rPr>
        <w:t>®</w:t>
      </w:r>
      <w:r w:rsidRPr="00FE4FFF">
        <w:rPr>
          <w:rFonts w:ascii="Times New Roman" w:eastAsia="Times New Roman" w:hAnsi="Times New Roman" w:cs="Times New Roman"/>
          <w:color w:val="000000"/>
          <w:sz w:val="20"/>
          <w:szCs w:val="20"/>
          <w:lang w:eastAsia="pl-PL"/>
        </w:rPr>
        <w:t> equation plug-in editor, or if the MathType™ equation editor is installed on your computer, in the </w:t>
      </w:r>
      <w:r w:rsidRPr="00174B8D">
        <w:rPr>
          <w:rFonts w:ascii="Times New Roman" w:eastAsia="Times New Roman" w:hAnsi="Times New Roman" w:cs="Times New Roman"/>
          <w:bCs/>
          <w:color w:val="000000"/>
          <w:sz w:val="20"/>
          <w:szCs w:val="20"/>
          <w:lang w:eastAsia="pl-PL"/>
        </w:rPr>
        <w:t>MathType™</w:t>
      </w:r>
      <w:r w:rsidRPr="00FE4FFF">
        <w:rPr>
          <w:rFonts w:ascii="Times New Roman" w:eastAsia="Times New Roman" w:hAnsi="Times New Roman" w:cs="Times New Roman"/>
          <w:color w:val="000000"/>
          <w:sz w:val="20"/>
          <w:szCs w:val="20"/>
          <w:lang w:eastAsia="pl-PL"/>
        </w:rPr>
        <w:t> equation editor. Example equation:</w:t>
      </w:r>
    </w:p>
    <w:p w:rsidR="00174B8D" w:rsidRDefault="00174B8D" w:rsidP="00174B8D">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Przykładowe równanie:</w:t>
      </w:r>
    </w:p>
    <w:p w:rsidR="00174B8D" w:rsidRDefault="00174B8D" w:rsidP="00174B8D">
      <w:pPr>
        <w:shd w:val="clear" w:color="auto" w:fill="FFFFFF"/>
        <w:spacing w:after="158" w:line="240" w:lineRule="auto"/>
        <w:jc w:val="right"/>
        <w:rPr>
          <w:rFonts w:ascii="Times New Roman" w:eastAsia="Times New Roman" w:hAnsi="Times New Roman" w:cs="Times New Roman"/>
          <w:color w:val="4F6228"/>
          <w:sz w:val="20"/>
          <w:szCs w:val="20"/>
        </w:rPr>
      </w:pPr>
      <w:r>
        <w:rPr>
          <w:rFonts w:ascii="Times New Roman" w:eastAsia="Times New Roman" w:hAnsi="Times New Roman" w:cs="Times New Roman"/>
          <w:noProof/>
          <w:color w:val="4F6228"/>
          <w:sz w:val="20"/>
          <w:szCs w:val="20"/>
        </w:rPr>
        <w:drawing>
          <wp:inline distT="0" distB="0" distL="114300" distR="114300" wp14:anchorId="22DC090A" wp14:editId="6E5389CA">
            <wp:extent cx="1789429" cy="2298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789429" cy="229870"/>
                    </a:xfrm>
                    <a:prstGeom prst="rect">
                      <a:avLst/>
                    </a:prstGeom>
                    <a:ln/>
                  </pic:spPr>
                </pic:pic>
              </a:graphicData>
            </a:graphic>
          </wp:inline>
        </w:drawing>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t xml:space="preserve"> (1</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All equations should be numbered, as above-mentioned.</w:t>
      </w:r>
    </w:p>
    <w:p w:rsidR="00FE4FFF" w:rsidRPr="00FE4FFF" w:rsidRDefault="00FE4FFF" w:rsidP="00174B8D">
      <w:pPr>
        <w:shd w:val="clear" w:color="auto" w:fill="FFFFFF"/>
        <w:spacing w:after="158" w:line="36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Results and Discussion</w:t>
      </w:r>
      <w:r w:rsidRPr="00FE4FFF">
        <w:rPr>
          <w:rFonts w:ascii="Arial" w:eastAsia="Times New Roman" w:hAnsi="Arial" w:cs="Arial"/>
          <w:color w:val="000000"/>
          <w:sz w:val="28"/>
          <w:szCs w:val="28"/>
          <w:lang w:eastAsia="pl-PL"/>
        </w:rPr>
        <w:t> (Arial font, 14 pts, bolded,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The section should, obviously, be factual and it is best to avoid any philosophy or speculation. Authors should consider very carefully how to present their data. It should not be presented in multiple formats (i.e. the same data should not appear in figures and tables). If the data is displayed very effectively in either a table or figure, it should not be necessary to explain results in great detail in the text, but rather to use the text as a medium for emphasizing the most significant data. It is occasionally acceptable not to provide actual evidence of the data, but this should not be done when the data is critical to interpretation. It should not be repetitive of the Introduction. It is entirely valid to suggest the potential implications of the work but without too much speculation. It is particularly important not to extend the discussion into areas that are not supported by the facts that are in evidence.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For </w:t>
      </w:r>
      <w:r w:rsidRPr="00174B8D">
        <w:rPr>
          <w:rFonts w:ascii="Times New Roman" w:eastAsia="Times New Roman" w:hAnsi="Times New Roman" w:cs="Times New Roman"/>
          <w:b/>
          <w:bCs/>
          <w:color w:val="000000"/>
          <w:sz w:val="20"/>
          <w:szCs w:val="20"/>
          <w:lang w:eastAsia="pl-PL"/>
        </w:rPr>
        <w:t>tabular summations</w:t>
      </w:r>
      <w:r w:rsidRPr="00FE4FFF">
        <w:rPr>
          <w:rFonts w:ascii="Times New Roman" w:eastAsia="Times New Roman" w:hAnsi="Times New Roman" w:cs="Times New Roman"/>
          <w:color w:val="000000"/>
          <w:sz w:val="20"/>
          <w:szCs w:val="20"/>
          <w:lang w:eastAsia="pl-PL"/>
        </w:rPr>
        <w:t> that do not deserve to be presented as a table, lists are often used. Lists may be either numbered or bulleted. Below you see examples of both.</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w:t>
      </w:r>
      <w:r w:rsidR="00174B8D">
        <w:rPr>
          <w:rFonts w:ascii="Times New Roman" w:eastAsia="Times New Roman" w:hAnsi="Times New Roman" w:cs="Times New Roman"/>
          <w:color w:val="000000"/>
          <w:sz w:val="20"/>
          <w:szCs w:val="20"/>
          <w:lang w:eastAsia="pl-PL"/>
        </w:rPr>
        <w:t xml:space="preserve"> </w:t>
      </w:r>
      <w:r w:rsidRPr="00FE4FFF">
        <w:rPr>
          <w:rFonts w:ascii="Times New Roman" w:eastAsia="Times New Roman" w:hAnsi="Times New Roman" w:cs="Times New Roman"/>
          <w:color w:val="000000"/>
          <w:sz w:val="20"/>
          <w:szCs w:val="20"/>
          <w:lang w:eastAsia="pl-PL"/>
        </w:rPr>
        <w:t>The first entry in this list</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2. The second entry</w:t>
      </w:r>
    </w:p>
    <w:p w:rsidR="00FE4FFF" w:rsidRPr="00FE4FFF" w:rsidRDefault="00FE4FFF" w:rsidP="00174B8D">
      <w:pPr>
        <w:shd w:val="clear" w:color="auto" w:fill="FFFFFF"/>
        <w:spacing w:after="158" w:line="240" w:lineRule="auto"/>
        <w:ind w:firstLine="708"/>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2.1. A subentry</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3. The last entry</w:t>
      </w:r>
    </w:p>
    <w:p w:rsidR="00FE4FFF" w:rsidRPr="00FE4FFF" w:rsidRDefault="00FE4FFF" w:rsidP="00174B8D">
      <w:pPr>
        <w:shd w:val="clear" w:color="auto" w:fill="FFFFFF"/>
        <w:spacing w:after="158" w:line="240" w:lineRule="auto"/>
        <w:ind w:left="720"/>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lastRenderedPageBreak/>
        <w:t>•</w:t>
      </w:r>
      <w:r w:rsidR="00174B8D">
        <w:rPr>
          <w:rFonts w:ascii="Times New Roman" w:eastAsia="Times New Roman" w:hAnsi="Times New Roman" w:cs="Times New Roman"/>
          <w:color w:val="000000"/>
          <w:sz w:val="20"/>
          <w:szCs w:val="20"/>
          <w:lang w:eastAsia="pl-PL"/>
        </w:rPr>
        <w:t xml:space="preserve"> </w:t>
      </w:r>
      <w:r w:rsidRPr="00FE4FFF">
        <w:rPr>
          <w:rFonts w:ascii="Times New Roman" w:eastAsia="Times New Roman" w:hAnsi="Times New Roman" w:cs="Times New Roman"/>
          <w:color w:val="000000"/>
          <w:sz w:val="20"/>
          <w:szCs w:val="20"/>
          <w:lang w:eastAsia="pl-PL"/>
        </w:rPr>
        <w:t>A bulleted list item</w:t>
      </w:r>
    </w:p>
    <w:p w:rsidR="00FE4FFF" w:rsidRPr="00FE4FFF" w:rsidRDefault="00FE4FFF" w:rsidP="00174B8D">
      <w:pPr>
        <w:shd w:val="clear" w:color="auto" w:fill="FFFFFF"/>
        <w:spacing w:after="158" w:line="240" w:lineRule="auto"/>
        <w:ind w:left="720"/>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Another one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Ensure that all </w:t>
      </w:r>
      <w:r w:rsidRPr="00174B8D">
        <w:rPr>
          <w:rFonts w:ascii="Times New Roman" w:eastAsia="Times New Roman" w:hAnsi="Times New Roman" w:cs="Times New Roman"/>
          <w:b/>
          <w:bCs/>
          <w:color w:val="000000"/>
          <w:sz w:val="20"/>
          <w:szCs w:val="20"/>
          <w:lang w:eastAsia="pl-PL"/>
        </w:rPr>
        <w:t>tables, figures and schemes</w:t>
      </w:r>
      <w:r w:rsidRPr="00FE4FFF">
        <w:rPr>
          <w:rFonts w:ascii="Times New Roman" w:eastAsia="Times New Roman" w:hAnsi="Times New Roman" w:cs="Times New Roman"/>
          <w:color w:val="000000"/>
          <w:sz w:val="20"/>
          <w:szCs w:val="20"/>
          <w:lang w:eastAsia="pl-PL"/>
        </w:rPr>
        <w:t> are cited in the text in numerical order. Trade names should have an initial capital letter, and trademark protection should be acknowledged in the standard fashion, using the superscripted characters for trademarks and registered trademarks respectively. All measurements and </w:t>
      </w:r>
      <w:r w:rsidRPr="00174B8D">
        <w:rPr>
          <w:rFonts w:ascii="Times New Roman" w:eastAsia="Times New Roman" w:hAnsi="Times New Roman" w:cs="Times New Roman"/>
          <w:b/>
          <w:bCs/>
          <w:color w:val="000000"/>
          <w:sz w:val="20"/>
          <w:szCs w:val="20"/>
          <w:lang w:eastAsia="pl-PL"/>
        </w:rPr>
        <w:t>data should be given in SI units</w:t>
      </w:r>
      <w:r w:rsidRPr="00FE4FFF">
        <w:rPr>
          <w:rFonts w:ascii="Times New Roman" w:eastAsia="Times New Roman" w:hAnsi="Times New Roman" w:cs="Times New Roman"/>
          <w:color w:val="000000"/>
          <w:sz w:val="20"/>
          <w:szCs w:val="20"/>
          <w:lang w:eastAsia="pl-PL"/>
        </w:rPr>
        <w:t> where possible, or other internationally accepted units. </w:t>
      </w:r>
      <w:r w:rsidRPr="00174B8D">
        <w:rPr>
          <w:rFonts w:ascii="Times New Roman" w:eastAsia="Times New Roman" w:hAnsi="Times New Roman" w:cs="Times New Roman"/>
          <w:b/>
          <w:bCs/>
          <w:color w:val="000000"/>
          <w:sz w:val="20"/>
          <w:szCs w:val="20"/>
          <w:lang w:eastAsia="pl-PL"/>
        </w:rPr>
        <w:t>Abbreviation</w:t>
      </w:r>
      <w:r w:rsidRPr="00FE4FFF">
        <w:rPr>
          <w:rFonts w:ascii="Times New Roman" w:eastAsia="Times New Roman" w:hAnsi="Times New Roman" w:cs="Times New Roman"/>
          <w:color w:val="000000"/>
          <w:sz w:val="20"/>
          <w:szCs w:val="20"/>
          <w:lang w:eastAsia="pl-PL"/>
        </w:rPr>
        <w:t>s should be used consistently throughout the text, and all non-standard abbreviations should be defined on first usage.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Below, the example table and figure with captions are attached.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Table 1.</w:t>
      </w:r>
      <w:r w:rsidRPr="00FE4FFF">
        <w:rPr>
          <w:rFonts w:ascii="Times New Roman" w:eastAsia="Times New Roman" w:hAnsi="Times New Roman" w:cs="Times New Roman"/>
          <w:color w:val="000000"/>
          <w:sz w:val="20"/>
          <w:szCs w:val="20"/>
          <w:lang w:eastAsia="pl-PL"/>
        </w:rPr>
        <w:t> General description of the used set of X-ray ligand–protein complexes with halogen bonding (XB).</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tbl>
      <w:tblPr>
        <w:tblW w:w="0" w:type="auto"/>
        <w:shd w:val="clear" w:color="auto" w:fill="FFFFFF"/>
        <w:tblCellMar>
          <w:left w:w="0" w:type="dxa"/>
          <w:right w:w="0" w:type="dxa"/>
        </w:tblCellMar>
        <w:tblLook w:val="04A0" w:firstRow="1" w:lastRow="0" w:firstColumn="1" w:lastColumn="0" w:noHBand="0" w:noVBand="1"/>
      </w:tblPr>
      <w:tblGrid>
        <w:gridCol w:w="945"/>
        <w:gridCol w:w="1695"/>
        <w:gridCol w:w="1740"/>
        <w:gridCol w:w="2085"/>
        <w:gridCol w:w="2550"/>
      </w:tblGrid>
      <w:tr w:rsidR="00FE4FFF" w:rsidRPr="00FE4FFF" w:rsidTr="00174B8D">
        <w:tc>
          <w:tcPr>
            <w:tcW w:w="945" w:type="dxa"/>
            <w:tcBorders>
              <w:top w:val="single" w:sz="4" w:space="0" w:color="auto"/>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Halogen</w:t>
            </w:r>
            <w:r w:rsidRPr="00FE4FFF">
              <w:rPr>
                <w:rFonts w:ascii="Times New Roman" w:eastAsia="Times New Roman" w:hAnsi="Times New Roman" w:cs="Times New Roman"/>
                <w:color w:val="000000"/>
                <w:sz w:val="20"/>
                <w:szCs w:val="20"/>
                <w:vertAlign w:val="superscript"/>
                <w:lang w:eastAsia="pl-PL"/>
              </w:rPr>
              <w:t>a</w:t>
            </w:r>
          </w:p>
        </w:tc>
        <w:tc>
          <w:tcPr>
            <w:tcW w:w="1695" w:type="dxa"/>
            <w:tcBorders>
              <w:top w:val="single" w:sz="4" w:space="0" w:color="auto"/>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 of complexes</w:t>
            </w:r>
          </w:p>
        </w:tc>
        <w:tc>
          <w:tcPr>
            <w:tcW w:w="1740" w:type="dxa"/>
            <w:tcBorders>
              <w:top w:val="single" w:sz="4" w:space="0" w:color="auto"/>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XB angle range [º]</w:t>
            </w:r>
          </w:p>
        </w:tc>
        <w:tc>
          <w:tcPr>
            <w:tcW w:w="2085" w:type="dxa"/>
            <w:tcBorders>
              <w:top w:val="single" w:sz="4" w:space="0" w:color="auto"/>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XB distance range [Å]</w:t>
            </w:r>
          </w:p>
        </w:tc>
        <w:tc>
          <w:tcPr>
            <w:tcW w:w="2550" w:type="dxa"/>
            <w:tcBorders>
              <w:top w:val="single" w:sz="4" w:space="0" w:color="auto"/>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Crystal resolution range [Å]</w:t>
            </w:r>
          </w:p>
        </w:tc>
      </w:tr>
      <w:tr w:rsidR="00FE4FFF" w:rsidRPr="00FE4FFF" w:rsidTr="00174B8D">
        <w:tc>
          <w:tcPr>
            <w:tcW w:w="945" w:type="dxa"/>
            <w:tcBorders>
              <w:top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Cl</w:t>
            </w:r>
          </w:p>
        </w:tc>
        <w:tc>
          <w:tcPr>
            <w:tcW w:w="1695" w:type="dxa"/>
            <w:tcBorders>
              <w:top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39</w:t>
            </w:r>
          </w:p>
        </w:tc>
        <w:tc>
          <w:tcPr>
            <w:tcW w:w="1740" w:type="dxa"/>
            <w:tcBorders>
              <w:top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141 - 176</w:t>
            </w:r>
          </w:p>
        </w:tc>
        <w:tc>
          <w:tcPr>
            <w:tcW w:w="2085" w:type="dxa"/>
            <w:tcBorders>
              <w:top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2.67 – 3.67</w:t>
            </w:r>
          </w:p>
        </w:tc>
        <w:tc>
          <w:tcPr>
            <w:tcW w:w="2550" w:type="dxa"/>
            <w:tcBorders>
              <w:top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1.00 – 2.90</w:t>
            </w:r>
          </w:p>
        </w:tc>
      </w:tr>
      <w:tr w:rsidR="00FE4FFF" w:rsidRPr="00FE4FFF" w:rsidTr="00174B8D">
        <w:tc>
          <w:tcPr>
            <w:tcW w:w="945" w:type="dxa"/>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Br</w:t>
            </w:r>
          </w:p>
        </w:tc>
        <w:tc>
          <w:tcPr>
            <w:tcW w:w="1695" w:type="dxa"/>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32</w:t>
            </w:r>
          </w:p>
        </w:tc>
        <w:tc>
          <w:tcPr>
            <w:tcW w:w="1740" w:type="dxa"/>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159 – 176</w:t>
            </w:r>
          </w:p>
        </w:tc>
        <w:tc>
          <w:tcPr>
            <w:tcW w:w="2085" w:type="dxa"/>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2.34 – 3.69</w:t>
            </w:r>
          </w:p>
        </w:tc>
        <w:tc>
          <w:tcPr>
            <w:tcW w:w="2550" w:type="dxa"/>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1.10 – 2.92</w:t>
            </w:r>
          </w:p>
        </w:tc>
      </w:tr>
      <w:tr w:rsidR="00FE4FFF" w:rsidRPr="00FE4FFF" w:rsidTr="00174B8D">
        <w:tc>
          <w:tcPr>
            <w:tcW w:w="945" w:type="dxa"/>
            <w:tcBorders>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I</w:t>
            </w:r>
          </w:p>
        </w:tc>
        <w:tc>
          <w:tcPr>
            <w:tcW w:w="1695" w:type="dxa"/>
            <w:tcBorders>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35</w:t>
            </w:r>
          </w:p>
        </w:tc>
        <w:tc>
          <w:tcPr>
            <w:tcW w:w="1740" w:type="dxa"/>
            <w:tcBorders>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148 - 178</w:t>
            </w:r>
          </w:p>
        </w:tc>
        <w:tc>
          <w:tcPr>
            <w:tcW w:w="2085" w:type="dxa"/>
            <w:tcBorders>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2.83 – 3.76</w:t>
            </w:r>
          </w:p>
        </w:tc>
        <w:tc>
          <w:tcPr>
            <w:tcW w:w="2550" w:type="dxa"/>
            <w:tcBorders>
              <w:bottom w:val="single" w:sz="4" w:space="0" w:color="auto"/>
            </w:tcBorders>
            <w:shd w:val="clear" w:color="auto" w:fill="FFFFFF"/>
            <w:vAlign w:val="center"/>
            <w:hideMark/>
          </w:tcPr>
          <w:p w:rsidR="00FE4FFF" w:rsidRPr="00FE4FFF" w:rsidRDefault="00FE4FFF" w:rsidP="00174B8D">
            <w:pPr>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1.25 – 2.90</w:t>
            </w:r>
          </w:p>
        </w:tc>
      </w:tr>
    </w:tbl>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vertAlign w:val="superscript"/>
          <w:lang w:eastAsia="pl-PL"/>
        </w:rPr>
        <w:t>a </w:t>
      </w:r>
      <w:r w:rsidRPr="00FE4FFF">
        <w:rPr>
          <w:rFonts w:ascii="Times New Roman" w:eastAsia="Times New Roman" w:hAnsi="Times New Roman" w:cs="Times New Roman"/>
          <w:color w:val="000000"/>
          <w:sz w:val="20"/>
          <w:szCs w:val="20"/>
          <w:lang w:eastAsia="pl-PL"/>
        </w:rPr>
        <w:t>This is the format for table footnotes.</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xml:space="preserve">Figure </w:t>
      </w:r>
      <w:r w:rsidR="00174B8D">
        <w:rPr>
          <w:rFonts w:ascii="Times New Roman" w:eastAsia="Times New Roman" w:hAnsi="Times New Roman" w:cs="Times New Roman"/>
          <w:color w:val="000000"/>
          <w:sz w:val="20"/>
          <w:szCs w:val="20"/>
          <w:lang w:eastAsia="pl-PL"/>
        </w:rPr>
        <w:t>f</w:t>
      </w:r>
      <w:r w:rsidRPr="00FE4FFF">
        <w:rPr>
          <w:rFonts w:ascii="Times New Roman" w:eastAsia="Times New Roman" w:hAnsi="Times New Roman" w:cs="Times New Roman"/>
          <w:color w:val="000000"/>
          <w:sz w:val="20"/>
          <w:szCs w:val="20"/>
          <w:lang w:eastAsia="pl-PL"/>
        </w:rPr>
        <w:t xml:space="preserve">ile </w:t>
      </w:r>
      <w:r w:rsidR="00174B8D">
        <w:rPr>
          <w:rFonts w:ascii="Times New Roman" w:eastAsia="Times New Roman" w:hAnsi="Times New Roman" w:cs="Times New Roman"/>
          <w:color w:val="000000"/>
          <w:sz w:val="20"/>
          <w:szCs w:val="20"/>
          <w:lang w:eastAsia="pl-PL"/>
        </w:rPr>
        <w:t>r</w:t>
      </w:r>
      <w:r w:rsidRPr="00FE4FFF">
        <w:rPr>
          <w:rFonts w:ascii="Times New Roman" w:eastAsia="Times New Roman" w:hAnsi="Times New Roman" w:cs="Times New Roman"/>
          <w:color w:val="000000"/>
          <w:sz w:val="20"/>
          <w:szCs w:val="20"/>
          <w:lang w:eastAsia="pl-PL"/>
        </w:rPr>
        <w:t>equirements:</w:t>
      </w:r>
    </w:p>
    <w:p w:rsidR="00174B8D" w:rsidRDefault="00174B8D" w:rsidP="009F4FEC">
      <w:pPr>
        <w:pStyle w:val="Akapitzlist"/>
        <w:numPr>
          <w:ilvl w:val="0"/>
          <w:numId w:val="1"/>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color w:val="000000"/>
          <w:sz w:val="20"/>
          <w:szCs w:val="20"/>
          <w:lang w:eastAsia="pl-PL"/>
        </w:rPr>
        <w:t>File format: TIFF or PNG</w:t>
      </w:r>
    </w:p>
    <w:p w:rsidR="00174B8D" w:rsidRDefault="00174B8D" w:rsidP="009431B2">
      <w:pPr>
        <w:pStyle w:val="Akapitzlist"/>
        <w:numPr>
          <w:ilvl w:val="0"/>
          <w:numId w:val="1"/>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color w:val="000000"/>
          <w:sz w:val="20"/>
          <w:szCs w:val="20"/>
          <w:lang w:eastAsia="pl-PL"/>
        </w:rPr>
        <w:t>Resolution: 300 – 600 dpi</w:t>
      </w:r>
    </w:p>
    <w:p w:rsidR="00174B8D" w:rsidRDefault="00FE4FFF" w:rsidP="00BE5E5C">
      <w:pPr>
        <w:pStyle w:val="Akapitzlist"/>
        <w:numPr>
          <w:ilvl w:val="0"/>
          <w:numId w:val="1"/>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Text within Figures: Arial,</w:t>
      </w:r>
      <w:r w:rsidR="00174B8D">
        <w:rPr>
          <w:rFonts w:ascii="Times New Roman" w:eastAsia="Times New Roman" w:hAnsi="Times New Roman" w:cs="Times New Roman"/>
          <w:color w:val="000000"/>
          <w:sz w:val="20"/>
          <w:szCs w:val="20"/>
          <w:lang w:eastAsia="pl-PL"/>
        </w:rPr>
        <w:t xml:space="preserve"> Times font only in 8-12 points</w:t>
      </w:r>
    </w:p>
    <w:p w:rsidR="00FE4FFF" w:rsidRPr="00FE4FFF" w:rsidRDefault="00FE4FFF" w:rsidP="00BE5E5C">
      <w:pPr>
        <w:pStyle w:val="Akapitzlist"/>
        <w:numPr>
          <w:ilvl w:val="0"/>
          <w:numId w:val="1"/>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Captions: in the manuscript, not in the figure file.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Please do not:</w:t>
      </w:r>
    </w:p>
    <w:p w:rsidR="00174B8D" w:rsidRDefault="00FE4FFF" w:rsidP="008D3A09">
      <w:pPr>
        <w:pStyle w:val="Akapitzlist"/>
        <w:numPr>
          <w:ilvl w:val="0"/>
          <w:numId w:val="2"/>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color w:val="000000"/>
          <w:sz w:val="20"/>
          <w:szCs w:val="20"/>
          <w:lang w:eastAsia="pl-PL"/>
        </w:rPr>
        <w:t>Supply files that are optimized for screen use (e.g., GIF, BMP, PICT, WPG); the resolution is too low.</w:t>
      </w:r>
    </w:p>
    <w:p w:rsidR="00174B8D" w:rsidRDefault="00FE4FFF" w:rsidP="006A1B14">
      <w:pPr>
        <w:pStyle w:val="Akapitzlist"/>
        <w:numPr>
          <w:ilvl w:val="0"/>
          <w:numId w:val="2"/>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Supply files that are too low in resolution.</w:t>
      </w:r>
    </w:p>
    <w:p w:rsidR="00FE4FFF" w:rsidRPr="00FE4FFF" w:rsidRDefault="00FE4FFF" w:rsidP="006A1B14">
      <w:pPr>
        <w:pStyle w:val="Akapitzlist"/>
        <w:numPr>
          <w:ilvl w:val="0"/>
          <w:numId w:val="2"/>
        </w:num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Submit graphics that are disproportionately large for the content.</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r w:rsidR="00174B8D" w:rsidRPr="005B5ED1">
        <w:rPr>
          <w:rFonts w:ascii="Times New Roman" w:eastAsia="Times New Roman" w:hAnsi="Times New Roman" w:cs="Times New Roman"/>
          <w:noProof/>
          <w:color w:val="212121"/>
        </w:rPr>
        <w:drawing>
          <wp:inline distT="0" distB="0" distL="0" distR="0" wp14:anchorId="24AEED49" wp14:editId="65D1CE01">
            <wp:extent cx="4868883" cy="2834573"/>
            <wp:effectExtent l="0" t="0" r="8255" b="4445"/>
            <wp:docPr id="3" name="Obraz 3" descr="C:\Users\Krzysztof\Desktop\ScreenHunter_385 May. 17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Desktop\ScreenHunter_385 May. 17 13.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0287" cy="2858678"/>
                    </a:xfrm>
                    <a:prstGeom prst="rect">
                      <a:avLst/>
                    </a:prstGeom>
                    <a:noFill/>
                    <a:ln>
                      <a:noFill/>
                    </a:ln>
                  </pic:spPr>
                </pic:pic>
              </a:graphicData>
            </a:graphic>
          </wp:inline>
        </w:drawing>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8"/>
          <w:szCs w:val="28"/>
          <w:lang w:eastAsia="pl-PL"/>
        </w:rPr>
      </w:pPr>
      <w:r w:rsidRPr="00174B8D">
        <w:rPr>
          <w:rFonts w:ascii="Times New Roman" w:eastAsia="Times New Roman" w:hAnsi="Times New Roman" w:cs="Times New Roman"/>
          <w:b/>
          <w:bCs/>
          <w:color w:val="000000"/>
          <w:sz w:val="28"/>
          <w:szCs w:val="28"/>
          <w:lang w:eastAsia="pl-PL"/>
        </w:rPr>
        <w:lastRenderedPageBreak/>
        <w:t>Conclusions </w:t>
      </w:r>
      <w:r w:rsidRPr="00FE4FFF">
        <w:rPr>
          <w:rFonts w:ascii="Times New Roman" w:eastAsia="Times New Roman" w:hAnsi="Times New Roman" w:cs="Times New Roman"/>
          <w:color w:val="000000"/>
          <w:sz w:val="28"/>
          <w:szCs w:val="28"/>
          <w:lang w:eastAsia="pl-PL"/>
        </w:rPr>
        <w:t>(Arial font, 14 pts, bolded, one and a half -spaced)</w:t>
      </w:r>
    </w:p>
    <w:p w:rsidR="00FE4FFF" w:rsidRPr="00FE4FFF" w:rsidRDefault="00FE4FFF" w:rsidP="00174B8D">
      <w:pPr>
        <w:shd w:val="clear" w:color="auto" w:fill="FFFFFF"/>
        <w:spacing w:after="158" w:line="360" w:lineRule="auto"/>
        <w:jc w:val="both"/>
        <w:rPr>
          <w:rFonts w:ascii="Times New Roman" w:eastAsia="Times New Roman" w:hAnsi="Times New Roman" w:cs="Times New Roman"/>
          <w:color w:val="000000"/>
          <w:sz w:val="24"/>
          <w:szCs w:val="24"/>
          <w:lang w:eastAsia="pl-PL"/>
        </w:rPr>
      </w:pPr>
      <w:r w:rsidRPr="00FE4FFF">
        <w:rPr>
          <w:rFonts w:ascii="Times New Roman" w:eastAsia="Times New Roman" w:hAnsi="Times New Roman" w:cs="Times New Roman"/>
          <w:color w:val="000000"/>
          <w:sz w:val="24"/>
          <w:szCs w:val="24"/>
          <w:lang w:eastAsia="pl-PL"/>
        </w:rPr>
        <w:t>Type conclusions here (Times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many authors end the Discussion section with a paragraph on the conclusions. This is not the best way to draw the manuscript to an end, and we require that conclusions be separated into a distinct section. This should not be too long, nor should it be repetitive of the discussion, and especially should not bring new ideas into the paper. The conclusions have to be based on the facts in evidence and should be limited to reasonable speculation about the significance of the work. The editorial team are particularly vigilant over the use of unjustified, exaggerated language in the Conclusions section.</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Acknowledgments </w:t>
      </w:r>
      <w:r w:rsidRPr="00FE4FFF">
        <w:rPr>
          <w:rFonts w:ascii="Arial" w:eastAsia="Times New Roman" w:hAnsi="Arial" w:cs="Arial"/>
          <w:color w:val="000000"/>
          <w:sz w:val="28"/>
          <w:szCs w:val="28"/>
          <w:lang w:eastAsia="pl-PL"/>
        </w:rPr>
        <w:t>(Arial font, 14 pts, bolded,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The study was supported by the National Science Centre Grant No DEC-2014……(Times New Roman font, 12 pts,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collate acknowledgements, including information on grants received, in a separate section at the end of the article and do not, therefore, include them on the title page, as a footnote to the title or otherwise. If no funding has been provided for the research, please include the following sentence: This research did not receive any specific grant from funding agencies in the public, commercial, or not-for-profit sectors.</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Arial" w:eastAsia="Times New Roman" w:hAnsi="Arial" w:cs="Arial"/>
          <w:color w:val="000000"/>
          <w:sz w:val="28"/>
          <w:szCs w:val="28"/>
          <w:lang w:eastAsia="pl-PL"/>
        </w:rPr>
      </w:pPr>
      <w:r w:rsidRPr="00174B8D">
        <w:rPr>
          <w:rFonts w:ascii="Arial" w:eastAsia="Times New Roman" w:hAnsi="Arial" w:cs="Arial"/>
          <w:b/>
          <w:bCs/>
          <w:color w:val="000000"/>
          <w:sz w:val="28"/>
          <w:szCs w:val="28"/>
          <w:lang w:eastAsia="pl-PL"/>
        </w:rPr>
        <w:t>References </w:t>
      </w:r>
      <w:r w:rsidRPr="00FE4FFF">
        <w:rPr>
          <w:rFonts w:ascii="Arial" w:eastAsia="Times New Roman" w:hAnsi="Arial" w:cs="Arial"/>
          <w:color w:val="000000"/>
          <w:sz w:val="28"/>
          <w:szCs w:val="28"/>
          <w:lang w:eastAsia="pl-PL"/>
        </w:rPr>
        <w:t>(Arial font, 14 pts, bolded, one and a half -spaced)</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Note: please use </w:t>
      </w:r>
      <w:r w:rsidR="00174B8D">
        <w:rPr>
          <w:rFonts w:ascii="Times New Roman" w:eastAsia="Times New Roman" w:hAnsi="Times New Roman" w:cs="Times New Roman"/>
          <w:b/>
          <w:bCs/>
          <w:color w:val="000000"/>
          <w:sz w:val="20"/>
          <w:szCs w:val="20"/>
          <w:lang w:eastAsia="pl-PL"/>
        </w:rPr>
        <w:t>Vancouver S</w:t>
      </w:r>
      <w:r w:rsidRPr="00174B8D">
        <w:rPr>
          <w:rFonts w:ascii="Times New Roman" w:eastAsia="Times New Roman" w:hAnsi="Times New Roman" w:cs="Times New Roman"/>
          <w:b/>
          <w:bCs/>
          <w:color w:val="000000"/>
          <w:sz w:val="20"/>
          <w:szCs w:val="20"/>
          <w:lang w:eastAsia="pl-PL"/>
        </w:rPr>
        <w:t>tyle</w:t>
      </w:r>
      <w:r w:rsidRPr="00FE4FFF">
        <w:rPr>
          <w:rFonts w:ascii="Times New Roman" w:eastAsia="Times New Roman" w:hAnsi="Times New Roman" w:cs="Times New Roman"/>
          <w:color w:val="000000"/>
          <w:sz w:val="20"/>
          <w:szCs w:val="20"/>
          <w:lang w:eastAsia="pl-PL"/>
        </w:rPr>
        <w:t> as a citation and reference list format. The reference list should only include works that are cited in the text, ensure that every reference cited in the text is also present in the reference list (and vice versa). Unpublished results and personal communications are not recommended in the reference list, but may be mentioned in the text. Citation of a reference as 'in press' implies that the item has been accepted for publication.</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General rules for Vancouver format:</w:t>
      </w:r>
    </w:p>
    <w:p w:rsidR="00174B8D" w:rsidRDefault="00FE4FFF" w:rsidP="00590826">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color w:val="000000"/>
          <w:sz w:val="20"/>
          <w:szCs w:val="20"/>
          <w:lang w:eastAsia="pl-PL"/>
        </w:rPr>
        <w:t>Reference list should appear at the end of your assignment/report with the entries listed numerically and in the same order t</w:t>
      </w:r>
      <w:r w:rsidR="00174B8D" w:rsidRPr="00174B8D">
        <w:rPr>
          <w:rFonts w:ascii="Times New Roman" w:eastAsia="Times New Roman" w:hAnsi="Times New Roman" w:cs="Times New Roman"/>
          <w:color w:val="000000"/>
          <w:sz w:val="20"/>
          <w:szCs w:val="20"/>
          <w:lang w:eastAsia="pl-PL"/>
        </w:rPr>
        <w:t>hat they were cited in the text.</w:t>
      </w:r>
    </w:p>
    <w:p w:rsidR="00174B8D" w:rsidRDefault="00FE4FFF" w:rsidP="00480C23">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It is very important to use the right punctuation and  to check that the order of details i</w:t>
      </w:r>
      <w:r w:rsidR="00174B8D" w:rsidRPr="00174B8D">
        <w:rPr>
          <w:rFonts w:ascii="Times New Roman" w:eastAsia="Times New Roman" w:hAnsi="Times New Roman" w:cs="Times New Roman"/>
          <w:color w:val="000000"/>
          <w:sz w:val="20"/>
          <w:szCs w:val="20"/>
          <w:lang w:eastAsia="pl-PL"/>
        </w:rPr>
        <w:t>n the reference is also correct.</w:t>
      </w:r>
    </w:p>
    <w:p w:rsidR="00174B8D" w:rsidRDefault="00FE4FFF" w:rsidP="00DB75BE">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N</w:t>
      </w:r>
      <w:r w:rsidR="00174B8D" w:rsidRPr="00174B8D">
        <w:rPr>
          <w:rFonts w:ascii="Times New Roman" w:eastAsia="Times New Roman" w:hAnsi="Times New Roman" w:cs="Times New Roman"/>
          <w:color w:val="000000"/>
          <w:sz w:val="20"/>
          <w:szCs w:val="20"/>
          <w:lang w:eastAsia="pl-PL"/>
        </w:rPr>
        <w:t>o use of &amp; between author names.</w:t>
      </w:r>
    </w:p>
    <w:p w:rsidR="00174B8D" w:rsidRDefault="00FE4FFF" w:rsidP="00911C07">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Book and journal titles are not italicis</w:t>
      </w:r>
      <w:r w:rsidR="00174B8D" w:rsidRPr="00174B8D">
        <w:rPr>
          <w:rFonts w:ascii="Times New Roman" w:eastAsia="Times New Roman" w:hAnsi="Times New Roman" w:cs="Times New Roman"/>
          <w:color w:val="000000"/>
          <w:sz w:val="20"/>
          <w:szCs w:val="20"/>
          <w:lang w:eastAsia="pl-PL"/>
        </w:rPr>
        <w:t>ed or placed in quotation marks.</w:t>
      </w:r>
    </w:p>
    <w:p w:rsidR="00174B8D" w:rsidRDefault="00FE4FFF" w:rsidP="00D07933">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Abbreviate page numb</w:t>
      </w:r>
      <w:r w:rsidR="00174B8D" w:rsidRPr="00174B8D">
        <w:rPr>
          <w:rFonts w:ascii="Times New Roman" w:eastAsia="Times New Roman" w:hAnsi="Times New Roman" w:cs="Times New Roman"/>
          <w:color w:val="000000"/>
          <w:sz w:val="20"/>
          <w:szCs w:val="20"/>
          <w:lang w:eastAsia="pl-PL"/>
        </w:rPr>
        <w:t>ers to p., for example p. 12–25.</w:t>
      </w:r>
    </w:p>
    <w:p w:rsidR="00174B8D" w:rsidRDefault="00FE4FFF" w:rsidP="00CE676D">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Only first words of the article title and words that normally begin with a</w:t>
      </w:r>
      <w:r w:rsidR="00174B8D">
        <w:rPr>
          <w:rFonts w:ascii="Times New Roman" w:eastAsia="Times New Roman" w:hAnsi="Times New Roman" w:cs="Times New Roman"/>
          <w:color w:val="000000"/>
          <w:sz w:val="20"/>
          <w:szCs w:val="20"/>
          <w:lang w:eastAsia="pl-PL"/>
        </w:rPr>
        <w:t xml:space="preserve"> capital letter are capitalised.</w:t>
      </w:r>
    </w:p>
    <w:p w:rsidR="00174B8D" w:rsidRDefault="00FE4FFF" w:rsidP="00C421F5">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Journal</w:t>
      </w:r>
      <w:r w:rsidR="00174B8D" w:rsidRPr="00174B8D">
        <w:rPr>
          <w:rFonts w:ascii="Times New Roman" w:eastAsia="Times New Roman" w:hAnsi="Times New Roman" w:cs="Times New Roman"/>
          <w:color w:val="000000"/>
          <w:sz w:val="20"/>
          <w:szCs w:val="20"/>
          <w:lang w:eastAsia="pl-PL"/>
        </w:rPr>
        <w:t xml:space="preserve"> titles must be given full name.</w:t>
      </w:r>
    </w:p>
    <w:p w:rsidR="00174B8D" w:rsidRDefault="00FE4FFF" w:rsidP="00E71468">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All authors must be list</w:t>
      </w:r>
      <w:r w:rsidR="00174B8D" w:rsidRPr="00174B8D">
        <w:rPr>
          <w:rFonts w:ascii="Times New Roman" w:eastAsia="Times New Roman" w:hAnsi="Times New Roman" w:cs="Times New Roman"/>
          <w:color w:val="000000"/>
          <w:sz w:val="20"/>
          <w:szCs w:val="20"/>
          <w:lang w:eastAsia="pl-PL"/>
        </w:rPr>
        <w:t>ed in reference list.</w:t>
      </w:r>
    </w:p>
    <w:p w:rsidR="00174B8D" w:rsidRDefault="00FE4FFF" w:rsidP="005F18D5">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Place superscript reference number in square bracke</w:t>
      </w:r>
      <w:r w:rsidR="00174B8D" w:rsidRPr="00174B8D">
        <w:rPr>
          <w:rFonts w:ascii="Times New Roman" w:eastAsia="Times New Roman" w:hAnsi="Times New Roman" w:cs="Times New Roman"/>
          <w:color w:val="000000"/>
          <w:sz w:val="20"/>
          <w:szCs w:val="20"/>
          <w:lang w:eastAsia="pl-PL"/>
        </w:rPr>
        <w:t>ts before commas and full stops.</w:t>
      </w:r>
    </w:p>
    <w:p w:rsidR="00174B8D" w:rsidRDefault="00FE4FFF" w:rsidP="00D462CB">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Use the rule for ran</w:t>
      </w:r>
      <w:r w:rsidR="00174B8D" w:rsidRPr="00174B8D">
        <w:rPr>
          <w:rFonts w:ascii="Times New Roman" w:eastAsia="Times New Roman" w:hAnsi="Times New Roman" w:cs="Times New Roman"/>
          <w:color w:val="000000"/>
          <w:sz w:val="20"/>
          <w:szCs w:val="20"/>
          <w:lang w:eastAsia="pl-PL"/>
        </w:rPr>
        <w:t>ges e.g.[1,</w:t>
      </w:r>
      <w:r w:rsidR="00174B8D">
        <w:rPr>
          <w:rFonts w:ascii="Times New Roman" w:eastAsia="Times New Roman" w:hAnsi="Times New Roman" w:cs="Times New Roman"/>
          <w:color w:val="000000"/>
          <w:sz w:val="20"/>
          <w:szCs w:val="20"/>
          <w:lang w:eastAsia="pl-PL"/>
        </w:rPr>
        <w:t xml:space="preserve"> </w:t>
      </w:r>
      <w:r w:rsidR="00174B8D" w:rsidRPr="00174B8D">
        <w:rPr>
          <w:rFonts w:ascii="Times New Roman" w:eastAsia="Times New Roman" w:hAnsi="Times New Roman" w:cs="Times New Roman"/>
          <w:color w:val="000000"/>
          <w:sz w:val="20"/>
          <w:szCs w:val="20"/>
          <w:lang w:eastAsia="pl-PL"/>
        </w:rPr>
        <w:t>2,</w:t>
      </w:r>
      <w:r w:rsidR="00174B8D">
        <w:rPr>
          <w:rFonts w:ascii="Times New Roman" w:eastAsia="Times New Roman" w:hAnsi="Times New Roman" w:cs="Times New Roman"/>
          <w:color w:val="000000"/>
          <w:sz w:val="20"/>
          <w:szCs w:val="20"/>
          <w:lang w:eastAsia="pl-PL"/>
        </w:rPr>
        <w:t xml:space="preserve"> </w:t>
      </w:r>
      <w:r w:rsidR="00174B8D" w:rsidRPr="00174B8D">
        <w:rPr>
          <w:rFonts w:ascii="Times New Roman" w:eastAsia="Times New Roman" w:hAnsi="Times New Roman" w:cs="Times New Roman"/>
          <w:color w:val="000000"/>
          <w:sz w:val="20"/>
          <w:szCs w:val="20"/>
          <w:lang w:eastAsia="pl-PL"/>
        </w:rPr>
        <w:t>3,</w:t>
      </w:r>
      <w:r w:rsidR="00174B8D">
        <w:rPr>
          <w:rFonts w:ascii="Times New Roman" w:eastAsia="Times New Roman" w:hAnsi="Times New Roman" w:cs="Times New Roman"/>
          <w:color w:val="000000"/>
          <w:sz w:val="20"/>
          <w:szCs w:val="20"/>
          <w:lang w:eastAsia="pl-PL"/>
        </w:rPr>
        <w:t xml:space="preserve"> </w:t>
      </w:r>
      <w:r w:rsidR="00174B8D" w:rsidRPr="00174B8D">
        <w:rPr>
          <w:rFonts w:ascii="Times New Roman" w:eastAsia="Times New Roman" w:hAnsi="Times New Roman" w:cs="Times New Roman"/>
          <w:color w:val="000000"/>
          <w:sz w:val="20"/>
          <w:szCs w:val="20"/>
          <w:lang w:eastAsia="pl-PL"/>
        </w:rPr>
        <w:t>4] becomes [1</w:t>
      </w:r>
      <w:r w:rsidR="00174B8D" w:rsidRPr="00174B8D">
        <w:rPr>
          <w:rFonts w:ascii="Times New Roman" w:eastAsia="Times New Roman" w:hAnsi="Times New Roman" w:cs="Times New Roman"/>
          <w:color w:val="000000"/>
          <w:sz w:val="20"/>
          <w:szCs w:val="20"/>
          <w:lang w:eastAsia="pl-PL"/>
        </w:rPr>
        <w:t>–</w:t>
      </w:r>
      <w:r w:rsidR="00174B8D" w:rsidRPr="00174B8D">
        <w:rPr>
          <w:rFonts w:ascii="Times New Roman" w:eastAsia="Times New Roman" w:hAnsi="Times New Roman" w:cs="Times New Roman"/>
          <w:color w:val="000000"/>
          <w:sz w:val="20"/>
          <w:szCs w:val="20"/>
          <w:lang w:eastAsia="pl-PL"/>
        </w:rPr>
        <w:t>4].</w:t>
      </w:r>
    </w:p>
    <w:p w:rsidR="00174B8D" w:rsidRDefault="00FE4FFF" w:rsidP="00EA7294">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For definition from encyclopaedia or dictionary please cite as a book wit</w:t>
      </w:r>
      <w:r w:rsidR="00174B8D" w:rsidRPr="00174B8D">
        <w:rPr>
          <w:rFonts w:ascii="Times New Roman" w:eastAsia="Times New Roman" w:hAnsi="Times New Roman" w:cs="Times New Roman"/>
          <w:color w:val="000000"/>
          <w:sz w:val="20"/>
          <w:szCs w:val="20"/>
          <w:lang w:eastAsia="pl-PL"/>
        </w:rPr>
        <w:t>h additional page of cited term.</w:t>
      </w:r>
    </w:p>
    <w:p w:rsidR="00FE4FFF" w:rsidRPr="00FE4FFF" w:rsidRDefault="00FE4FFF" w:rsidP="008D09AA">
      <w:pPr>
        <w:pStyle w:val="Akapitzlist"/>
        <w:numPr>
          <w:ilvl w:val="0"/>
          <w:numId w:val="3"/>
        </w:num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Use of DOI is highly encouraged if possible</w:t>
      </w:r>
      <w:r w:rsidR="00174B8D" w:rsidRPr="00174B8D">
        <w:rPr>
          <w:rFonts w:ascii="Times New Roman" w:eastAsia="Times New Roman" w:hAnsi="Times New Roman" w:cs="Times New Roman"/>
          <w:color w:val="000000"/>
          <w:sz w:val="20"/>
          <w:szCs w:val="20"/>
          <w:lang w:eastAsia="pl-PL"/>
        </w:rPr>
        <w:t>.</w:t>
      </w:r>
    </w:p>
    <w:p w:rsidR="00FE4FFF" w:rsidRPr="00FE4FFF" w:rsidRDefault="00FE4FFF" w:rsidP="00174B8D">
      <w:p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ind w:left="284"/>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u w:val="single"/>
          <w:lang w:eastAsia="pl-PL"/>
        </w:rPr>
        <w:t>Examples of reference list style: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Article in journal</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HARTMAN RW (1994), Can immigration slow U.S population ageing. Journal of Policy Analysis and Management. 1994; 13: 759-768.</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hyperlink r:id="rId7" w:anchor="page_scan_tab_contents" w:tgtFrame="_blank" w:history="1">
        <w:r w:rsidRPr="00174B8D">
          <w:rPr>
            <w:rFonts w:ascii="Times New Roman" w:eastAsia="Times New Roman" w:hAnsi="Times New Roman" w:cs="Times New Roman"/>
            <w:color w:val="01414D"/>
            <w:sz w:val="20"/>
            <w:szCs w:val="20"/>
            <w:u w:val="single"/>
            <w:lang w:eastAsia="pl-PL"/>
          </w:rPr>
          <w:t>https://www.jstor.org/stable/3325496?seq=1#page_scan_tab_contents</w:t>
        </w:r>
      </w:hyperlink>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lastRenderedPageBreak/>
        <w:t>Book/book with different editions</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Londes C., Lopez N., Mull D., Muss S. Social Security Benefits of immigrants.  New York: Elsevier; 2007.</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Topel R, Knoff R.. 2rd ed. New York: Industrial and Labor Relations Review; 2010.</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Book with editor/s</w:t>
      </w:r>
    </w:p>
    <w:p w:rsidR="00FE4FFF" w:rsidRPr="00FE4FFF" w:rsidRDefault="00FE4FFF" w:rsidP="00174B8D">
      <w:pPr>
        <w:shd w:val="clear" w:color="auto" w:fill="FFFFFF"/>
        <w:spacing w:before="315" w:after="158" w:line="240" w:lineRule="auto"/>
        <w:jc w:val="both"/>
        <w:outlineLvl w:val="2"/>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Cohn TH. </w:t>
      </w:r>
      <w:hyperlink r:id="rId8" w:tgtFrame="_blank" w:history="1">
        <w:r w:rsidRPr="00174B8D">
          <w:rPr>
            <w:rFonts w:ascii="Times New Roman" w:eastAsia="Times New Roman" w:hAnsi="Times New Roman" w:cs="Times New Roman"/>
            <w:color w:val="01414D"/>
            <w:sz w:val="20"/>
            <w:szCs w:val="20"/>
            <w:u w:val="single"/>
            <w:lang w:eastAsia="pl-PL"/>
          </w:rPr>
          <w:t>Global political economy: Theory and practice</w:t>
        </w:r>
      </w:hyperlink>
      <w:r w:rsidRPr="00FE4FFF">
        <w:rPr>
          <w:rFonts w:ascii="Times New Roman" w:eastAsia="Times New Roman" w:hAnsi="Times New Roman" w:cs="Times New Roman"/>
          <w:color w:val="000000"/>
          <w:sz w:val="20"/>
          <w:szCs w:val="20"/>
          <w:lang w:eastAsia="pl-PL"/>
        </w:rPr>
        <w:t>. New York, </w:t>
      </w:r>
      <w:hyperlink r:id="rId9" w:tgtFrame="_blank" w:history="1">
        <w:r w:rsidRPr="00174B8D">
          <w:rPr>
            <w:rFonts w:ascii="Times New Roman" w:eastAsia="Times New Roman" w:hAnsi="Times New Roman" w:cs="Times New Roman"/>
            <w:color w:val="000000"/>
            <w:sz w:val="20"/>
            <w:szCs w:val="20"/>
            <w:u w:val="single"/>
            <w:lang w:eastAsia="pl-PL"/>
          </w:rPr>
          <w:t>Taylor &amp; Francis Ltd</w:t>
        </w:r>
      </w:hyperlink>
      <w:r w:rsidRPr="00FE4FFF">
        <w:rPr>
          <w:rFonts w:ascii="Times New Roman" w:eastAsia="Times New Roman" w:hAnsi="Times New Roman" w:cs="Times New Roman"/>
          <w:color w:val="000000"/>
          <w:sz w:val="20"/>
          <w:szCs w:val="20"/>
          <w:lang w:eastAsia="pl-PL"/>
        </w:rPr>
        <w:t>; 2016.</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Article or chapter in book</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Lalonde RJ, TOPEL RH: The assimilation of immigrants in the U.S. labour market, In Borjas GJ,  Freeman RB, editor. Immigration, Trade and the Labour Market, University of Chicago Press, Chicago; 1992. P. 111-119.</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Conference proceeding (the whole conference)</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Jaeger ZJ, editor. Theories of inte</w:t>
      </w:r>
      <w:r w:rsidR="00174B8D">
        <w:rPr>
          <w:rFonts w:ascii="Times New Roman" w:eastAsia="Times New Roman" w:hAnsi="Times New Roman" w:cs="Times New Roman"/>
          <w:color w:val="000000"/>
          <w:sz w:val="20"/>
          <w:szCs w:val="20"/>
          <w:lang w:eastAsia="pl-PL"/>
        </w:rPr>
        <w:t xml:space="preserve">rnational migration, In Maron Z, </w:t>
      </w:r>
      <w:r w:rsidRPr="00FE4FFF">
        <w:rPr>
          <w:rFonts w:ascii="Times New Roman" w:eastAsia="Times New Roman" w:hAnsi="Times New Roman" w:cs="Times New Roman"/>
          <w:color w:val="000000"/>
          <w:sz w:val="20"/>
          <w:szCs w:val="20"/>
          <w:lang w:eastAsia="pl-PL"/>
        </w:rPr>
        <w:t>Freeman CD, editor. Migration, unemployment and development</w:t>
      </w:r>
      <w:bookmarkStart w:id="0" w:name="_GoBack"/>
      <w:bookmarkEnd w:id="0"/>
      <w:r w:rsidRPr="00FE4FFF">
        <w:rPr>
          <w:rFonts w:ascii="Times New Roman" w:eastAsia="Times New Roman" w:hAnsi="Times New Roman" w:cs="Times New Roman"/>
          <w:color w:val="000000"/>
          <w:sz w:val="20"/>
          <w:szCs w:val="20"/>
          <w:lang w:eastAsia="pl-PL"/>
        </w:rPr>
        <w:t>, 2007, Apr 8-9; New York: </w:t>
      </w:r>
      <w:hyperlink r:id="rId10" w:tgtFrame="_blank" w:history="1">
        <w:r w:rsidRPr="00174B8D">
          <w:rPr>
            <w:rFonts w:ascii="Times New Roman" w:eastAsia="Times New Roman" w:hAnsi="Times New Roman" w:cs="Times New Roman"/>
            <w:color w:val="000000"/>
            <w:sz w:val="20"/>
            <w:szCs w:val="20"/>
            <w:u w:val="single"/>
            <w:lang w:eastAsia="pl-PL"/>
          </w:rPr>
          <w:t>Taylor &amp; Francis Ltd</w:t>
        </w:r>
      </w:hyperlink>
      <w:r w:rsidRPr="00FE4FFF">
        <w:rPr>
          <w:rFonts w:ascii="Times New Roman" w:eastAsia="Times New Roman" w:hAnsi="Times New Roman" w:cs="Times New Roman"/>
          <w:color w:val="000000"/>
          <w:sz w:val="20"/>
          <w:szCs w:val="20"/>
          <w:lang w:eastAsia="pl-PL"/>
        </w:rPr>
        <w:t>; 2007</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174B8D">
        <w:rPr>
          <w:rFonts w:ascii="Times New Roman" w:eastAsia="Times New Roman" w:hAnsi="Times New Roman" w:cs="Times New Roman"/>
          <w:b/>
          <w:bCs/>
          <w:color w:val="000000"/>
          <w:sz w:val="20"/>
          <w:szCs w:val="20"/>
          <w:lang w:eastAsia="pl-PL"/>
        </w:rPr>
        <w:t>Article in press</w:t>
      </w:r>
    </w:p>
    <w:p w:rsidR="00FE4FFF" w:rsidRPr="00FE4FFF" w:rsidRDefault="00174B8D"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Hunt TZ, Rang DM.</w:t>
      </w:r>
      <w:r w:rsidR="00FE4FFF" w:rsidRPr="00FE4FFF">
        <w:rPr>
          <w:rFonts w:ascii="Times New Roman" w:eastAsia="Times New Roman" w:hAnsi="Times New Roman" w:cs="Times New Roman"/>
          <w:color w:val="000000"/>
          <w:sz w:val="20"/>
          <w:szCs w:val="20"/>
          <w:lang w:eastAsia="pl-PL"/>
        </w:rPr>
        <w:t xml:space="preserve"> Migratio</w:t>
      </w:r>
      <w:r>
        <w:rPr>
          <w:rFonts w:ascii="Times New Roman" w:eastAsia="Times New Roman" w:hAnsi="Times New Roman" w:cs="Times New Roman"/>
          <w:color w:val="000000"/>
          <w:sz w:val="20"/>
          <w:szCs w:val="20"/>
          <w:lang w:eastAsia="pl-PL"/>
        </w:rPr>
        <w:t>n, unemployment and development.</w:t>
      </w:r>
      <w:r w:rsidR="00FE4FFF" w:rsidRPr="00FE4FFF">
        <w:rPr>
          <w:rFonts w:ascii="Times New Roman" w:eastAsia="Times New Roman" w:hAnsi="Times New Roman" w:cs="Times New Roman"/>
          <w:color w:val="000000"/>
          <w:sz w:val="20"/>
          <w:szCs w:val="20"/>
          <w:lang w:eastAsia="pl-PL"/>
        </w:rPr>
        <w:t xml:space="preserve"> The American Economic Review. In press 2019.</w:t>
      </w:r>
    </w:p>
    <w:p w:rsidR="00FE4FFF" w:rsidRPr="00FE4FFF" w:rsidRDefault="00FE4FFF" w:rsidP="00174B8D">
      <w:pPr>
        <w:shd w:val="clear" w:color="auto" w:fill="FFFFFF"/>
        <w:spacing w:after="158" w:line="240" w:lineRule="auto"/>
        <w:jc w:val="both"/>
        <w:rPr>
          <w:rFonts w:ascii="Times New Roman" w:eastAsia="Times New Roman" w:hAnsi="Times New Roman" w:cs="Times New Roman"/>
          <w:color w:val="000000"/>
          <w:sz w:val="20"/>
          <w:szCs w:val="20"/>
          <w:lang w:eastAsia="pl-PL"/>
        </w:rPr>
      </w:pPr>
      <w:r w:rsidRPr="00FE4FFF">
        <w:rPr>
          <w:rFonts w:ascii="Times New Roman" w:eastAsia="Times New Roman" w:hAnsi="Times New Roman" w:cs="Times New Roman"/>
          <w:color w:val="000000"/>
          <w:sz w:val="20"/>
          <w:szCs w:val="20"/>
          <w:lang w:eastAsia="pl-PL"/>
        </w:rPr>
        <w:t> </w:t>
      </w:r>
    </w:p>
    <w:sectPr w:rsidR="00FE4FFF" w:rsidRPr="00FE4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C49"/>
    <w:multiLevelType w:val="hybridMultilevel"/>
    <w:tmpl w:val="F9AAB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A67D2A"/>
    <w:multiLevelType w:val="hybridMultilevel"/>
    <w:tmpl w:val="EDF8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7910AB"/>
    <w:multiLevelType w:val="hybridMultilevel"/>
    <w:tmpl w:val="56B27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FF"/>
    <w:rsid w:val="00174B8D"/>
    <w:rsid w:val="00FE4FFF"/>
    <w:rsid w:val="00FF0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EC093-9047-4CB1-9D33-7B3B5F6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FE4FF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E4FF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E4F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4FFF"/>
    <w:rPr>
      <w:b/>
      <w:bCs/>
    </w:rPr>
  </w:style>
  <w:style w:type="character" w:styleId="Uwydatnienie">
    <w:name w:val="Emphasis"/>
    <w:basedOn w:val="Domylnaczcionkaakapitu"/>
    <w:uiPriority w:val="20"/>
    <w:qFormat/>
    <w:rsid w:val="00FE4FFF"/>
    <w:rPr>
      <w:i/>
      <w:iCs/>
    </w:rPr>
  </w:style>
  <w:style w:type="character" w:styleId="Hipercze">
    <w:name w:val="Hyperlink"/>
    <w:basedOn w:val="Domylnaczcionkaakapitu"/>
    <w:uiPriority w:val="99"/>
    <w:semiHidden/>
    <w:unhideWhenUsed/>
    <w:rsid w:val="00FE4FFF"/>
    <w:rPr>
      <w:color w:val="0000FF"/>
      <w:u w:val="single"/>
    </w:rPr>
  </w:style>
  <w:style w:type="paragraph" w:customStyle="1" w:styleId="Normalny1">
    <w:name w:val="Normalny1"/>
    <w:rsid w:val="00174B8D"/>
    <w:pPr>
      <w:spacing w:after="0" w:line="276" w:lineRule="auto"/>
    </w:pPr>
    <w:rPr>
      <w:rFonts w:ascii="Arial" w:eastAsia="Arial" w:hAnsi="Arial" w:cs="Arial"/>
      <w:lang w:eastAsia="pl-PL"/>
    </w:rPr>
  </w:style>
  <w:style w:type="paragraph" w:styleId="Akapitzlist">
    <w:name w:val="List Paragraph"/>
    <w:basedOn w:val="Normalny"/>
    <w:uiPriority w:val="34"/>
    <w:qFormat/>
    <w:rsid w:val="0017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ylorfrancis.com/books/9781317334828" TargetMode="External"/><Relationship Id="rId3" Type="http://schemas.openxmlformats.org/officeDocument/2006/relationships/settings" Target="settings.xml"/><Relationship Id="rId7" Type="http://schemas.openxmlformats.org/officeDocument/2006/relationships/hyperlink" Target="https://www.jstor.org/stable/3325496?seq=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ookdepository.com/publishers/Taylor-Francis-Ltd" TargetMode="External"/><Relationship Id="rId4" Type="http://schemas.openxmlformats.org/officeDocument/2006/relationships/webSettings" Target="webSettings.xml"/><Relationship Id="rId9" Type="http://schemas.openxmlformats.org/officeDocument/2006/relationships/hyperlink" Target="https://www.bookdepository.com/publishers/Taylor-Francis-Lt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Badań Naukowych</dc:creator>
  <cp:keywords/>
  <dc:description/>
  <cp:lastModifiedBy>Dz. Badań Naukowych</cp:lastModifiedBy>
  <cp:revision>2</cp:revision>
  <dcterms:created xsi:type="dcterms:W3CDTF">2021-12-07T13:32:00Z</dcterms:created>
  <dcterms:modified xsi:type="dcterms:W3CDTF">2021-12-07T13:48:00Z</dcterms:modified>
</cp:coreProperties>
</file>